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F057F7">
        <w:rPr>
          <w:rFonts w:cs="Arial"/>
          <w:b/>
          <w:sz w:val="24"/>
          <w:szCs w:val="24"/>
        </w:rPr>
        <w:t>MIERCOLES 27 DE ABRIL</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F057F7">
        <w:rPr>
          <w:rFonts w:cs="Arial"/>
          <w:sz w:val="24"/>
          <w:szCs w:val="24"/>
        </w:rPr>
        <w:t>27</w:t>
      </w:r>
      <w:r w:rsidR="00E34126">
        <w:rPr>
          <w:rFonts w:cs="Arial"/>
          <w:sz w:val="24"/>
          <w:szCs w:val="24"/>
        </w:rPr>
        <w:t xml:space="preserve"> </w:t>
      </w:r>
      <w:r w:rsidR="00F057F7">
        <w:rPr>
          <w:rFonts w:cs="Arial"/>
          <w:sz w:val="24"/>
          <w:szCs w:val="24"/>
        </w:rPr>
        <w:t>veintisiete</w:t>
      </w:r>
      <w:r w:rsidR="00274D21">
        <w:rPr>
          <w:rFonts w:cs="Arial"/>
          <w:sz w:val="24"/>
          <w:szCs w:val="24"/>
        </w:rPr>
        <w:t xml:space="preserve"> de </w:t>
      </w:r>
      <w:r w:rsidR="00E34126">
        <w:rPr>
          <w:rFonts w:cs="Arial"/>
          <w:sz w:val="24"/>
          <w:szCs w:val="24"/>
        </w:rPr>
        <w:t>Abril</w:t>
      </w:r>
      <w:r w:rsidRPr="002A1A49">
        <w:rPr>
          <w:rFonts w:cs="Arial"/>
          <w:sz w:val="24"/>
          <w:szCs w:val="24"/>
        </w:rPr>
        <w:t xml:space="preserve"> de 2016 dos mil dieciséis da inicio la presente SESION DEL COMITÉ DE TRANSPARENCIA DEL MUNICIPIO DE PUERTO VALLARTA. </w:t>
      </w:r>
    </w:p>
    <w:p w:rsidR="005B577F" w:rsidRPr="002A1A49" w:rsidRDefault="005B577F"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5B577F" w:rsidRPr="002A1A49" w:rsidRDefault="005B577F"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Default="002A1A49" w:rsidP="002A1A49">
      <w:pPr>
        <w:jc w:val="center"/>
        <w:rPr>
          <w:rFonts w:cs="Arial"/>
          <w:b/>
          <w:sz w:val="24"/>
          <w:szCs w:val="24"/>
        </w:rPr>
      </w:pPr>
    </w:p>
    <w:p w:rsidR="005B577F" w:rsidRPr="002A1A49" w:rsidRDefault="005B577F"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F057F7" w:rsidRPr="00F057F7" w:rsidRDefault="00F057F7" w:rsidP="002A1A49">
      <w:pPr>
        <w:pStyle w:val="Prrafodelista"/>
        <w:numPr>
          <w:ilvl w:val="0"/>
          <w:numId w:val="1"/>
        </w:numPr>
        <w:jc w:val="both"/>
        <w:rPr>
          <w:rFonts w:ascii="Arial" w:hAnsi="Arial" w:cs="Arial"/>
          <w:sz w:val="24"/>
          <w:szCs w:val="24"/>
        </w:rPr>
      </w:pP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F057F7" w:rsidRDefault="00F057F7" w:rsidP="002A1A49">
      <w:pPr>
        <w:rPr>
          <w:rFonts w:cs="Arial"/>
          <w:sz w:val="24"/>
          <w:szCs w:val="24"/>
        </w:rPr>
      </w:pP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2A1A49" w:rsidRPr="00F057F7" w:rsidTr="00BF595E">
        <w:tc>
          <w:tcPr>
            <w:tcW w:w="1417" w:type="dxa"/>
          </w:tcPr>
          <w:p w:rsidR="002A1A49" w:rsidRPr="00F057F7" w:rsidRDefault="002A1A49" w:rsidP="003716F4">
            <w:pPr>
              <w:rPr>
                <w:rFonts w:cs="Arial"/>
                <w:sz w:val="20"/>
                <w:szCs w:val="20"/>
              </w:rPr>
            </w:pPr>
            <w:r w:rsidRPr="00F057F7">
              <w:rPr>
                <w:rFonts w:cs="Arial"/>
                <w:sz w:val="20"/>
                <w:szCs w:val="20"/>
              </w:rPr>
              <w:t>Expediente</w:t>
            </w:r>
          </w:p>
        </w:tc>
        <w:tc>
          <w:tcPr>
            <w:tcW w:w="3384" w:type="dxa"/>
          </w:tcPr>
          <w:p w:rsidR="002A1A49" w:rsidRPr="00F057F7" w:rsidRDefault="002A1A49" w:rsidP="003716F4">
            <w:pPr>
              <w:rPr>
                <w:rFonts w:cs="Arial"/>
                <w:sz w:val="20"/>
                <w:szCs w:val="20"/>
              </w:rPr>
            </w:pPr>
            <w:r w:rsidRPr="00F057F7">
              <w:rPr>
                <w:rFonts w:cs="Arial"/>
                <w:sz w:val="20"/>
                <w:szCs w:val="20"/>
              </w:rPr>
              <w:t>Información solicitada de la que se presume la inexistencia</w:t>
            </w:r>
          </w:p>
        </w:tc>
        <w:tc>
          <w:tcPr>
            <w:tcW w:w="3176" w:type="dxa"/>
          </w:tcPr>
          <w:p w:rsidR="002A1A49" w:rsidRPr="00F057F7" w:rsidRDefault="002A1A49" w:rsidP="003716F4">
            <w:pPr>
              <w:rPr>
                <w:rFonts w:cs="Arial"/>
                <w:sz w:val="20"/>
                <w:szCs w:val="20"/>
              </w:rPr>
            </w:pPr>
            <w:r w:rsidRPr="00F057F7">
              <w:rPr>
                <w:rFonts w:cs="Arial"/>
                <w:sz w:val="20"/>
                <w:szCs w:val="20"/>
              </w:rPr>
              <w:t>Propuesta de resolución.</w:t>
            </w:r>
          </w:p>
        </w:tc>
      </w:tr>
      <w:tr w:rsidR="002A1A49" w:rsidRPr="00F057F7" w:rsidTr="00BF595E">
        <w:tc>
          <w:tcPr>
            <w:tcW w:w="1417" w:type="dxa"/>
          </w:tcPr>
          <w:p w:rsidR="002A1A49" w:rsidRPr="00F057F7" w:rsidRDefault="00E34126" w:rsidP="00BF595E">
            <w:pPr>
              <w:rPr>
                <w:rFonts w:cs="Arial"/>
                <w:sz w:val="20"/>
                <w:szCs w:val="20"/>
              </w:rPr>
            </w:pPr>
            <w:r w:rsidRPr="00F057F7">
              <w:rPr>
                <w:rFonts w:cs="Arial"/>
                <w:sz w:val="20"/>
                <w:szCs w:val="20"/>
              </w:rPr>
              <w:t>1</w:t>
            </w:r>
            <w:r w:rsidR="00F057F7" w:rsidRPr="00F057F7">
              <w:rPr>
                <w:rFonts w:cs="Arial"/>
                <w:sz w:val="20"/>
                <w:szCs w:val="20"/>
              </w:rPr>
              <w:t>58</w:t>
            </w:r>
            <w:r w:rsidR="002A1A49" w:rsidRPr="00F057F7">
              <w:rPr>
                <w:rFonts w:cs="Arial"/>
                <w:sz w:val="20"/>
                <w:szCs w:val="20"/>
              </w:rPr>
              <w:t>/2016</w:t>
            </w:r>
          </w:p>
        </w:tc>
        <w:tc>
          <w:tcPr>
            <w:tcW w:w="3384" w:type="dxa"/>
          </w:tcPr>
          <w:p w:rsidR="007E11A9" w:rsidRPr="00F057F7" w:rsidRDefault="00F057F7" w:rsidP="00C95FBD">
            <w:pPr>
              <w:rPr>
                <w:rFonts w:cs="Arial"/>
                <w:sz w:val="20"/>
                <w:szCs w:val="20"/>
              </w:rPr>
            </w:pPr>
            <w:r w:rsidRPr="00F057F7">
              <w:rPr>
                <w:rFonts w:cs="Arial"/>
                <w:sz w:val="20"/>
                <w:szCs w:val="20"/>
              </w:rPr>
              <w:t>Acta constitutiva o documento legal donde se le reconocer a la Unión de propietarios de fincas.</w:t>
            </w:r>
          </w:p>
        </w:tc>
        <w:tc>
          <w:tcPr>
            <w:tcW w:w="3176" w:type="dxa"/>
          </w:tcPr>
          <w:p w:rsidR="002A1A49" w:rsidRPr="00F057F7" w:rsidRDefault="002A1A49" w:rsidP="003716F4">
            <w:pPr>
              <w:rPr>
                <w:rFonts w:cs="Arial"/>
                <w:sz w:val="20"/>
                <w:szCs w:val="20"/>
              </w:rPr>
            </w:pPr>
            <w:r w:rsidRPr="00F057F7">
              <w:rPr>
                <w:rFonts w:cs="Arial"/>
                <w:sz w:val="20"/>
                <w:szCs w:val="20"/>
              </w:rPr>
              <w:t xml:space="preserve">Se confirma la inexistencia por los motivos expuestos en la resolución. Notifíquese al solicitante en los términos del Artículo 86 Bis punto 4 de la Ley de Transparencia y Acceso a la </w:t>
            </w:r>
            <w:r w:rsidRPr="00F057F7">
              <w:rPr>
                <w:rFonts w:cs="Arial"/>
                <w:sz w:val="20"/>
                <w:szCs w:val="20"/>
              </w:rPr>
              <w:lastRenderedPageBreak/>
              <w:t>Información Pública del Estado de Jalisco y sus Municipios</w:t>
            </w:r>
          </w:p>
        </w:tc>
      </w:tr>
      <w:tr w:rsidR="00B04D01" w:rsidRPr="00F057F7" w:rsidTr="00BF595E">
        <w:tc>
          <w:tcPr>
            <w:tcW w:w="1417" w:type="dxa"/>
          </w:tcPr>
          <w:p w:rsidR="00B04D01" w:rsidRPr="00F057F7" w:rsidRDefault="00BF595E" w:rsidP="00F057F7">
            <w:pPr>
              <w:rPr>
                <w:rFonts w:cs="Arial"/>
                <w:sz w:val="20"/>
                <w:szCs w:val="20"/>
              </w:rPr>
            </w:pPr>
            <w:r w:rsidRPr="00F057F7">
              <w:rPr>
                <w:rFonts w:cs="Arial"/>
                <w:sz w:val="20"/>
                <w:szCs w:val="20"/>
              </w:rPr>
              <w:lastRenderedPageBreak/>
              <w:t>1</w:t>
            </w:r>
            <w:r w:rsidR="00F057F7" w:rsidRPr="00F057F7">
              <w:rPr>
                <w:rFonts w:cs="Arial"/>
                <w:sz w:val="20"/>
                <w:szCs w:val="20"/>
              </w:rPr>
              <w:t>62</w:t>
            </w:r>
            <w:r w:rsidRPr="00F057F7">
              <w:rPr>
                <w:rFonts w:cs="Arial"/>
                <w:sz w:val="20"/>
                <w:szCs w:val="20"/>
              </w:rPr>
              <w:t>/2016</w:t>
            </w:r>
          </w:p>
        </w:tc>
        <w:tc>
          <w:tcPr>
            <w:tcW w:w="3384" w:type="dxa"/>
          </w:tcPr>
          <w:p w:rsidR="00B04D01" w:rsidRPr="00F057F7" w:rsidRDefault="00F057F7" w:rsidP="00B9251F">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Estado de cuenta de pensiones del estado.</w:t>
            </w:r>
          </w:p>
        </w:tc>
        <w:tc>
          <w:tcPr>
            <w:tcW w:w="3176" w:type="dxa"/>
          </w:tcPr>
          <w:p w:rsidR="00B04D01" w:rsidRPr="00F057F7" w:rsidRDefault="00B04D01" w:rsidP="003716F4">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F057F7" w:rsidTr="00BF595E">
        <w:tc>
          <w:tcPr>
            <w:tcW w:w="1417" w:type="dxa"/>
          </w:tcPr>
          <w:p w:rsidR="00BF595E" w:rsidRPr="00F057F7" w:rsidRDefault="00F057F7" w:rsidP="00BF595E">
            <w:pPr>
              <w:rPr>
                <w:rFonts w:cs="Arial"/>
                <w:sz w:val="20"/>
                <w:szCs w:val="20"/>
              </w:rPr>
            </w:pPr>
            <w:r w:rsidRPr="00F057F7">
              <w:rPr>
                <w:rFonts w:cs="Arial"/>
                <w:sz w:val="20"/>
                <w:szCs w:val="20"/>
              </w:rPr>
              <w:t>163/2016</w:t>
            </w:r>
          </w:p>
        </w:tc>
        <w:tc>
          <w:tcPr>
            <w:tcW w:w="3384" w:type="dxa"/>
          </w:tcPr>
          <w:p w:rsidR="00BF595E" w:rsidRPr="00F057F7" w:rsidRDefault="00F057F7" w:rsidP="00BF595E">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Estado de cuenta de pensiones del estado.</w:t>
            </w:r>
          </w:p>
        </w:tc>
        <w:tc>
          <w:tcPr>
            <w:tcW w:w="3176" w:type="dxa"/>
          </w:tcPr>
          <w:p w:rsidR="00BF595E" w:rsidRPr="00F057F7" w:rsidRDefault="00BF595E" w:rsidP="00BF595E">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F057F7" w:rsidTr="00BF595E">
        <w:tc>
          <w:tcPr>
            <w:tcW w:w="1417" w:type="dxa"/>
          </w:tcPr>
          <w:p w:rsidR="00BF595E" w:rsidRPr="00F057F7" w:rsidRDefault="00F057F7" w:rsidP="00BF595E">
            <w:pPr>
              <w:rPr>
                <w:rFonts w:cs="Arial"/>
                <w:sz w:val="20"/>
                <w:szCs w:val="20"/>
              </w:rPr>
            </w:pPr>
            <w:r w:rsidRPr="00F057F7">
              <w:rPr>
                <w:rFonts w:cs="Arial"/>
                <w:sz w:val="20"/>
                <w:szCs w:val="20"/>
              </w:rPr>
              <w:t>16</w:t>
            </w:r>
            <w:r w:rsidR="00BF595E" w:rsidRPr="00F057F7">
              <w:rPr>
                <w:rFonts w:cs="Arial"/>
                <w:sz w:val="20"/>
                <w:szCs w:val="20"/>
              </w:rPr>
              <w:t>4/2016</w:t>
            </w:r>
          </w:p>
        </w:tc>
        <w:tc>
          <w:tcPr>
            <w:tcW w:w="3384" w:type="dxa"/>
          </w:tcPr>
          <w:p w:rsidR="00BF595E" w:rsidRPr="00F057F7" w:rsidRDefault="00F057F7" w:rsidP="00BF595E">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Estado de cuenta de pensione del estado</w:t>
            </w:r>
          </w:p>
        </w:tc>
        <w:tc>
          <w:tcPr>
            <w:tcW w:w="3176" w:type="dxa"/>
          </w:tcPr>
          <w:p w:rsidR="00BF595E" w:rsidRPr="00F057F7" w:rsidRDefault="00BF595E" w:rsidP="00BF595E">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F057F7" w:rsidTr="00BF595E">
        <w:tc>
          <w:tcPr>
            <w:tcW w:w="1417" w:type="dxa"/>
          </w:tcPr>
          <w:p w:rsidR="00BF595E" w:rsidRPr="00F057F7" w:rsidRDefault="00BF595E" w:rsidP="00F057F7">
            <w:pPr>
              <w:rPr>
                <w:rFonts w:cs="Arial"/>
                <w:sz w:val="20"/>
                <w:szCs w:val="20"/>
              </w:rPr>
            </w:pPr>
            <w:r w:rsidRPr="00F057F7">
              <w:rPr>
                <w:rFonts w:cs="Arial"/>
                <w:sz w:val="20"/>
                <w:szCs w:val="20"/>
              </w:rPr>
              <w:t>1</w:t>
            </w:r>
            <w:r w:rsidR="00F057F7" w:rsidRPr="00F057F7">
              <w:rPr>
                <w:rFonts w:cs="Arial"/>
                <w:sz w:val="20"/>
                <w:szCs w:val="20"/>
              </w:rPr>
              <w:t>65</w:t>
            </w:r>
            <w:r w:rsidRPr="00F057F7">
              <w:rPr>
                <w:rFonts w:cs="Arial"/>
                <w:sz w:val="20"/>
                <w:szCs w:val="20"/>
              </w:rPr>
              <w:t>/2016</w:t>
            </w:r>
          </w:p>
        </w:tc>
        <w:tc>
          <w:tcPr>
            <w:tcW w:w="3384" w:type="dxa"/>
          </w:tcPr>
          <w:p w:rsidR="00BF595E" w:rsidRPr="00F057F7" w:rsidRDefault="00F057F7" w:rsidP="00BF595E">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Aportaciones a pensiones del Estado</w:t>
            </w:r>
          </w:p>
        </w:tc>
        <w:tc>
          <w:tcPr>
            <w:tcW w:w="3176" w:type="dxa"/>
          </w:tcPr>
          <w:p w:rsidR="00BF595E" w:rsidRPr="00F057F7" w:rsidRDefault="00BF595E" w:rsidP="00BF595E">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r w:rsidR="005B577F" w:rsidRPr="00F057F7">
              <w:rPr>
                <w:rFonts w:cs="Arial"/>
                <w:sz w:val="20"/>
                <w:szCs w:val="20"/>
              </w:rPr>
              <w:t xml:space="preserve"> </w:t>
            </w:r>
          </w:p>
        </w:tc>
      </w:tr>
      <w:tr w:rsidR="00F057F7" w:rsidRPr="00F057F7" w:rsidTr="00BF595E">
        <w:tc>
          <w:tcPr>
            <w:tcW w:w="1417" w:type="dxa"/>
          </w:tcPr>
          <w:p w:rsidR="00F057F7" w:rsidRPr="00F057F7" w:rsidRDefault="00F057F7" w:rsidP="00F057F7">
            <w:pPr>
              <w:rPr>
                <w:rFonts w:cs="Arial"/>
                <w:sz w:val="20"/>
                <w:szCs w:val="20"/>
              </w:rPr>
            </w:pPr>
            <w:r w:rsidRPr="00F057F7">
              <w:rPr>
                <w:rFonts w:cs="Arial"/>
                <w:sz w:val="20"/>
                <w:szCs w:val="20"/>
              </w:rPr>
              <w:t>166/2016</w:t>
            </w:r>
          </w:p>
        </w:tc>
        <w:tc>
          <w:tcPr>
            <w:tcW w:w="3384" w:type="dxa"/>
          </w:tcPr>
          <w:p w:rsidR="00F057F7" w:rsidRPr="00F057F7" w:rsidRDefault="00F057F7" w:rsidP="00BF595E">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Estado de cuenta de pensiones del Estado</w:t>
            </w:r>
          </w:p>
        </w:tc>
        <w:tc>
          <w:tcPr>
            <w:tcW w:w="3176" w:type="dxa"/>
          </w:tcPr>
          <w:p w:rsidR="00F057F7" w:rsidRPr="00F057F7" w:rsidRDefault="00F057F7" w:rsidP="00BF595E">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057F7" w:rsidRPr="00F057F7" w:rsidTr="00BF595E">
        <w:tc>
          <w:tcPr>
            <w:tcW w:w="1417" w:type="dxa"/>
          </w:tcPr>
          <w:p w:rsidR="00F057F7" w:rsidRPr="00F057F7" w:rsidRDefault="00F057F7" w:rsidP="00F057F7">
            <w:pPr>
              <w:rPr>
                <w:rFonts w:cs="Arial"/>
                <w:sz w:val="20"/>
                <w:szCs w:val="20"/>
              </w:rPr>
            </w:pPr>
            <w:r w:rsidRPr="00F057F7">
              <w:rPr>
                <w:rFonts w:cs="Arial"/>
                <w:sz w:val="20"/>
                <w:szCs w:val="20"/>
              </w:rPr>
              <w:t>167/2016</w:t>
            </w:r>
          </w:p>
        </w:tc>
        <w:tc>
          <w:tcPr>
            <w:tcW w:w="3384" w:type="dxa"/>
          </w:tcPr>
          <w:p w:rsidR="00F057F7" w:rsidRPr="00F057F7" w:rsidRDefault="00F057F7" w:rsidP="00BF595E">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En calidad de qué firmó y si es vecino aledaño al comercio</w:t>
            </w:r>
          </w:p>
        </w:tc>
        <w:tc>
          <w:tcPr>
            <w:tcW w:w="3176" w:type="dxa"/>
          </w:tcPr>
          <w:p w:rsidR="00F057F7" w:rsidRPr="00F057F7" w:rsidRDefault="00F057F7" w:rsidP="00BF595E">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057F7" w:rsidRPr="00F057F7" w:rsidTr="00BF595E">
        <w:tc>
          <w:tcPr>
            <w:tcW w:w="1417" w:type="dxa"/>
          </w:tcPr>
          <w:p w:rsidR="00F057F7" w:rsidRPr="00F057F7" w:rsidRDefault="00F057F7" w:rsidP="00F057F7">
            <w:pPr>
              <w:rPr>
                <w:rFonts w:cs="Arial"/>
                <w:sz w:val="20"/>
                <w:szCs w:val="20"/>
              </w:rPr>
            </w:pPr>
            <w:r w:rsidRPr="00F057F7">
              <w:rPr>
                <w:rFonts w:cs="Arial"/>
                <w:sz w:val="20"/>
                <w:szCs w:val="20"/>
              </w:rPr>
              <w:t>168/2016</w:t>
            </w:r>
          </w:p>
        </w:tc>
        <w:tc>
          <w:tcPr>
            <w:tcW w:w="3384" w:type="dxa"/>
          </w:tcPr>
          <w:p w:rsidR="00F057F7" w:rsidRPr="00F057F7" w:rsidRDefault="00F057F7" w:rsidP="00F057F7">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Estado de cuenta de pensiones del Estado</w:t>
            </w:r>
          </w:p>
        </w:tc>
        <w:tc>
          <w:tcPr>
            <w:tcW w:w="3176" w:type="dxa"/>
          </w:tcPr>
          <w:p w:rsidR="00F057F7" w:rsidRPr="00F057F7" w:rsidRDefault="00F057F7" w:rsidP="00F057F7">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057F7" w:rsidRPr="00F057F7" w:rsidTr="00BF595E">
        <w:tc>
          <w:tcPr>
            <w:tcW w:w="1417" w:type="dxa"/>
          </w:tcPr>
          <w:p w:rsidR="00F057F7" w:rsidRPr="00F057F7" w:rsidRDefault="00F057F7" w:rsidP="00F057F7">
            <w:pPr>
              <w:rPr>
                <w:rFonts w:cs="Arial"/>
                <w:sz w:val="20"/>
                <w:szCs w:val="20"/>
              </w:rPr>
            </w:pPr>
            <w:r w:rsidRPr="00F057F7">
              <w:rPr>
                <w:rFonts w:cs="Arial"/>
                <w:sz w:val="20"/>
                <w:szCs w:val="20"/>
              </w:rPr>
              <w:t>178/2016</w:t>
            </w:r>
          </w:p>
        </w:tc>
        <w:tc>
          <w:tcPr>
            <w:tcW w:w="3384" w:type="dxa"/>
          </w:tcPr>
          <w:p w:rsidR="00F057F7" w:rsidRPr="00F057F7" w:rsidRDefault="00F057F7" w:rsidP="00F057F7">
            <w:pPr>
              <w:pStyle w:val="Prrafodelista"/>
              <w:spacing w:after="0"/>
              <w:ind w:left="1"/>
              <w:jc w:val="both"/>
              <w:rPr>
                <w:rFonts w:ascii="Arial" w:eastAsia="Times New Roman" w:hAnsi="Arial" w:cs="Arial"/>
                <w:sz w:val="20"/>
                <w:szCs w:val="20"/>
              </w:rPr>
            </w:pPr>
            <w:r w:rsidRPr="00F057F7">
              <w:rPr>
                <w:rFonts w:ascii="Arial" w:eastAsia="Times New Roman" w:hAnsi="Arial" w:cs="Arial"/>
                <w:sz w:val="20"/>
                <w:szCs w:val="20"/>
              </w:rPr>
              <w:t>Soporte documental para su trámite y autorización de la cuenta No. 1896 a nombre del Restaurant “Lolita”</w:t>
            </w:r>
          </w:p>
        </w:tc>
        <w:tc>
          <w:tcPr>
            <w:tcW w:w="3176" w:type="dxa"/>
          </w:tcPr>
          <w:p w:rsidR="00F057F7" w:rsidRPr="00F057F7" w:rsidRDefault="00F057F7" w:rsidP="00F057F7">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r w:rsidRPr="00F057F7">
              <w:rPr>
                <w:rFonts w:cs="Arial"/>
                <w:sz w:val="20"/>
                <w:szCs w:val="20"/>
              </w:rPr>
              <w:t>.</w:t>
            </w:r>
          </w:p>
          <w:p w:rsidR="00F057F7" w:rsidRPr="00F057F7" w:rsidRDefault="00F057F7" w:rsidP="00F057F7">
            <w:pPr>
              <w:rPr>
                <w:rFonts w:cs="Arial"/>
                <w:sz w:val="20"/>
                <w:szCs w:val="20"/>
              </w:rPr>
            </w:pPr>
            <w:r w:rsidRPr="00F057F7">
              <w:rPr>
                <w:rFonts w:cs="Arial"/>
                <w:sz w:val="20"/>
                <w:szCs w:val="20"/>
              </w:rPr>
              <w:t>Se ordena a la Dirección de Padrón y Licencias realice las gestiones correspondientes a efecto de presentarse las denuncias que correspondan.</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Se pregunta a los presentes si existen observaciones, ante lo cual no existe manifestación alguna. El Presidente del Comité solicita en votación económica se emita el sentido del voto a efecto de aprobar las resoluciones </w:t>
      </w:r>
      <w:r w:rsidRPr="002A1A49">
        <w:rPr>
          <w:rFonts w:cs="Arial"/>
          <w:sz w:val="24"/>
          <w:szCs w:val="24"/>
        </w:rPr>
        <w:lastRenderedPageBreak/>
        <w:t>antes mencionadas. Con 3 tres votos a favor y 0 cero en contra se aprueban las resoluciones.</w:t>
      </w:r>
    </w:p>
    <w:p w:rsidR="002A1A49" w:rsidRDefault="002A1A49" w:rsidP="002A1A49">
      <w:pPr>
        <w:rPr>
          <w:rFonts w:cs="Arial"/>
          <w:sz w:val="24"/>
          <w:szCs w:val="24"/>
        </w:rPr>
      </w:pPr>
    </w:p>
    <w:p w:rsidR="005B577F" w:rsidRPr="002A1A49" w:rsidRDefault="005B577F"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Default="002A1A49" w:rsidP="002A1A49">
      <w:pPr>
        <w:rPr>
          <w:rFonts w:cs="Arial"/>
          <w:b/>
          <w:sz w:val="24"/>
          <w:szCs w:val="24"/>
        </w:rPr>
      </w:pPr>
    </w:p>
    <w:p w:rsidR="005B577F" w:rsidRPr="002A1A49" w:rsidRDefault="005B577F"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F057F7">
        <w:rPr>
          <w:rFonts w:cs="Arial"/>
          <w:sz w:val="24"/>
          <w:szCs w:val="24"/>
        </w:rPr>
        <w:t>27</w:t>
      </w:r>
      <w:r w:rsidR="00E34126">
        <w:rPr>
          <w:rFonts w:cs="Arial"/>
          <w:sz w:val="24"/>
          <w:szCs w:val="24"/>
        </w:rPr>
        <w:t xml:space="preserve"> de Abril</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bookmarkStart w:id="0" w:name="_GoBack"/>
      <w:bookmarkEnd w:id="0"/>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577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8E2338"/>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D2049"/>
    <w:rsid w:val="00E34126"/>
    <w:rsid w:val="00E423D3"/>
    <w:rsid w:val="00E446EE"/>
    <w:rsid w:val="00ED0F84"/>
    <w:rsid w:val="00EE02B0"/>
    <w:rsid w:val="00EF1B0D"/>
    <w:rsid w:val="00F00664"/>
    <w:rsid w:val="00F057F7"/>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2016-04-27T21:25:00Z</cp:lastPrinted>
  <dcterms:created xsi:type="dcterms:W3CDTF">2016-04-27T22:11:00Z</dcterms:created>
  <dcterms:modified xsi:type="dcterms:W3CDTF">2016-04-27T22:11:00Z</dcterms:modified>
</cp:coreProperties>
</file>